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B042" w14:textId="77777777" w:rsidR="00CB3E6D" w:rsidRPr="0095323F" w:rsidRDefault="00CB3E6D" w:rsidP="00CB3E6D">
      <w:pPr>
        <w:rPr>
          <w:rFonts w:cs="Arial"/>
          <w:sz w:val="20"/>
          <w:szCs w:val="20"/>
        </w:rPr>
      </w:pPr>
    </w:p>
    <w:p w14:paraId="6546B9CD" w14:textId="216DDF21" w:rsidR="00CB3E6D" w:rsidRPr="00E15394" w:rsidRDefault="00CB3E6D" w:rsidP="00CB3E6D">
      <w:pPr>
        <w:rPr>
          <w:rFonts w:cs="Arial"/>
          <w:b/>
          <w:bCs/>
          <w:szCs w:val="21"/>
        </w:rPr>
      </w:pPr>
      <w:r w:rsidRPr="00E15394">
        <w:rPr>
          <w:rFonts w:cs="Arial"/>
          <w:b/>
          <w:bCs/>
          <w:szCs w:val="21"/>
        </w:rPr>
        <w:t xml:space="preserve">Overzicht van de ontwikkelingen </w:t>
      </w:r>
      <w:r>
        <w:rPr>
          <w:rFonts w:cs="Arial"/>
          <w:b/>
          <w:bCs/>
          <w:szCs w:val="21"/>
        </w:rPr>
        <w:t>Industrie &amp; Gezondheid IJmond</w:t>
      </w:r>
    </w:p>
    <w:p w14:paraId="6552E7E7" w14:textId="77777777" w:rsidR="00CB3E6D" w:rsidRPr="00E15394" w:rsidRDefault="00CB3E6D" w:rsidP="00CB3E6D">
      <w:pPr>
        <w:rPr>
          <w:rFonts w:cs="Arial"/>
          <w:b/>
          <w:bCs/>
          <w:szCs w:val="21"/>
        </w:rPr>
      </w:pPr>
    </w:p>
    <w:p w14:paraId="3897817A" w14:textId="77777777" w:rsidR="00CB3E6D" w:rsidRPr="00986A2D" w:rsidRDefault="00CB3E6D" w:rsidP="00CB3E6D">
      <w:pPr>
        <w:rPr>
          <w:rFonts w:cs="Arial"/>
          <w:szCs w:val="21"/>
        </w:rPr>
      </w:pPr>
      <w:r w:rsidRPr="00986A2D">
        <w:rPr>
          <w:rFonts w:cs="Arial"/>
          <w:szCs w:val="21"/>
        </w:rPr>
        <w:t xml:space="preserve">Hieronder staat een globaal overzicht van de belangrijkste ontwikkelingen vanaf de publicatie van het </w:t>
      </w:r>
      <w:r>
        <w:rPr>
          <w:rFonts w:cs="Arial"/>
          <w:szCs w:val="21"/>
        </w:rPr>
        <w:t>tweede</w:t>
      </w:r>
      <w:r w:rsidRPr="00986A2D">
        <w:rPr>
          <w:rFonts w:cs="Arial"/>
          <w:szCs w:val="21"/>
        </w:rPr>
        <w:t xml:space="preserve"> RIVM-rapport </w:t>
      </w:r>
      <w:r>
        <w:rPr>
          <w:rFonts w:cs="Arial"/>
          <w:szCs w:val="21"/>
        </w:rPr>
        <w:t>in september</w:t>
      </w:r>
      <w:r w:rsidRPr="00986A2D">
        <w:rPr>
          <w:rFonts w:cs="Arial"/>
          <w:szCs w:val="21"/>
        </w:rPr>
        <w:t xml:space="preserve"> 2021. </w:t>
      </w:r>
    </w:p>
    <w:p w14:paraId="274F0920" w14:textId="77777777" w:rsidR="00CB3E6D" w:rsidRPr="00986A2D" w:rsidRDefault="00CB3E6D" w:rsidP="00CB3E6D">
      <w:pPr>
        <w:rPr>
          <w:rFonts w:cs="Arial"/>
          <w:szCs w:val="21"/>
        </w:rPr>
      </w:pPr>
    </w:p>
    <w:p w14:paraId="1E1DE85E" w14:textId="77777777" w:rsidR="00CB3E6D" w:rsidRPr="00986A2D" w:rsidRDefault="00CB3E6D" w:rsidP="00CB3E6D">
      <w:pPr>
        <w:pStyle w:val="Lijstalinea"/>
        <w:numPr>
          <w:ilvl w:val="0"/>
          <w:numId w:val="1"/>
        </w:numPr>
        <w:rPr>
          <w:rFonts w:cs="Arial"/>
          <w:szCs w:val="21"/>
        </w:rPr>
      </w:pPr>
      <w:r w:rsidRPr="00986A2D">
        <w:rPr>
          <w:rFonts w:cs="Arial"/>
          <w:szCs w:val="21"/>
        </w:rPr>
        <w:t>2 september 2021: publicatie van het RIVM rapport Gezondheidsonderzoek in de IJmond</w:t>
      </w:r>
      <w:r>
        <w:rPr>
          <w:rFonts w:cs="Arial"/>
          <w:szCs w:val="21"/>
        </w:rPr>
        <w:t>,</w:t>
      </w:r>
      <w:r w:rsidRPr="00986A2D">
        <w:rPr>
          <w:rFonts w:cs="Arial"/>
          <w:szCs w:val="21"/>
        </w:rPr>
        <w:t xml:space="preserve"> </w:t>
      </w:r>
      <w:r w:rsidRPr="005C4042">
        <w:rPr>
          <w:rFonts w:cs="Arial"/>
          <w:i/>
          <w:iCs/>
          <w:szCs w:val="21"/>
        </w:rPr>
        <w:t>deel 2 Depositieonderzoek 2020</w:t>
      </w:r>
      <w:r w:rsidRPr="00986A2D">
        <w:rPr>
          <w:rFonts w:cs="Arial"/>
          <w:szCs w:val="21"/>
        </w:rPr>
        <w:t>.  Naar aanleiding van de publicatie van het onderzoek is er een brief aan</w:t>
      </w:r>
      <w:r>
        <w:rPr>
          <w:rFonts w:cs="Arial"/>
          <w:szCs w:val="21"/>
        </w:rPr>
        <w:t xml:space="preserve"> het ministerie van</w:t>
      </w:r>
      <w:r w:rsidRPr="00986A2D">
        <w:rPr>
          <w:rFonts w:cs="Arial"/>
          <w:szCs w:val="21"/>
        </w:rPr>
        <w:t xml:space="preserve"> I&amp;W gestuurd, namens de IJmond gemeenten en de Provincie Noord Holland. </w:t>
      </w:r>
    </w:p>
    <w:p w14:paraId="7C682C85" w14:textId="77777777" w:rsidR="00CB3E6D" w:rsidRPr="00986A2D" w:rsidRDefault="00CB3E6D" w:rsidP="00CB3E6D">
      <w:pPr>
        <w:pStyle w:val="Lijstalinea"/>
        <w:numPr>
          <w:ilvl w:val="0"/>
          <w:numId w:val="1"/>
        </w:numPr>
        <w:rPr>
          <w:rFonts w:cs="Arial"/>
          <w:szCs w:val="21"/>
        </w:rPr>
      </w:pPr>
      <w:r w:rsidRPr="00986A2D">
        <w:rPr>
          <w:rFonts w:cs="Arial"/>
          <w:szCs w:val="21"/>
        </w:rPr>
        <w:t>2 september 2021: “</w:t>
      </w:r>
      <w:r w:rsidRPr="005C4042">
        <w:rPr>
          <w:rFonts w:cs="Arial"/>
          <w:i/>
          <w:iCs/>
          <w:szCs w:val="21"/>
        </w:rPr>
        <w:t>lobbybrief</w:t>
      </w:r>
      <w:r w:rsidRPr="00986A2D">
        <w:rPr>
          <w:rFonts w:cs="Arial"/>
          <w:szCs w:val="21"/>
        </w:rPr>
        <w:t xml:space="preserve">”, namens IJmondgemeenten en Provincie N-H, aan de Tweede Kamer ter voorbereiding op Tweede Kamer debat over de toekomst van Tata Steel van 9 september 2021.  </w:t>
      </w:r>
    </w:p>
    <w:p w14:paraId="4380EA5E" w14:textId="77777777" w:rsidR="00CB3E6D" w:rsidRPr="00DB1819" w:rsidRDefault="00CB3E6D" w:rsidP="00CB3E6D">
      <w:pPr>
        <w:pStyle w:val="Lijstalinea"/>
        <w:numPr>
          <w:ilvl w:val="0"/>
          <w:numId w:val="1"/>
        </w:numPr>
        <w:rPr>
          <w:rFonts w:cs="Arial"/>
          <w:szCs w:val="21"/>
        </w:rPr>
      </w:pPr>
      <w:r w:rsidRPr="00986A2D">
        <w:rPr>
          <w:rFonts w:cs="Arial"/>
          <w:szCs w:val="21"/>
        </w:rPr>
        <w:t xml:space="preserve">4 september 2021: Roland Berger voert in opdracht van het FNV en Tata Steel een haalbaarheidsstudie uit naar twee verschillende scenario’s voor een duurzame toekomst van Tata Steel. Op 4 september werd de tussenrapportage opgeleverd. De eerste </w:t>
      </w:r>
      <w:r w:rsidRPr="00DB1819">
        <w:rPr>
          <w:rFonts w:cs="Arial"/>
          <w:szCs w:val="21"/>
        </w:rPr>
        <w:t xml:space="preserve">bevindingen laten zien dat de </w:t>
      </w:r>
      <w:r w:rsidRPr="005C4042">
        <w:rPr>
          <w:rFonts w:cs="Arial"/>
          <w:i/>
          <w:iCs/>
          <w:szCs w:val="21"/>
        </w:rPr>
        <w:t>waterstofroute technisch gezien haalbaar</w:t>
      </w:r>
      <w:r w:rsidRPr="00DB1819">
        <w:rPr>
          <w:rFonts w:cs="Arial"/>
          <w:szCs w:val="21"/>
        </w:rPr>
        <w:t xml:space="preserve"> is. De volledige studie zal (naar verwachting) eind november worden afgerond.</w:t>
      </w:r>
    </w:p>
    <w:p w14:paraId="43AC0252" w14:textId="77777777" w:rsidR="00CB3E6D" w:rsidRPr="00DB1819" w:rsidRDefault="00CB3E6D" w:rsidP="00CB3E6D">
      <w:pPr>
        <w:pStyle w:val="Lijstalinea"/>
        <w:numPr>
          <w:ilvl w:val="0"/>
          <w:numId w:val="1"/>
        </w:numPr>
        <w:rPr>
          <w:rFonts w:cs="Arial"/>
          <w:szCs w:val="21"/>
        </w:rPr>
      </w:pPr>
      <w:r w:rsidRPr="00DB1819">
        <w:rPr>
          <w:rFonts w:cs="Arial"/>
          <w:szCs w:val="21"/>
        </w:rPr>
        <w:t xml:space="preserve">9 september 2021: </w:t>
      </w:r>
      <w:r w:rsidRPr="005C4042">
        <w:rPr>
          <w:rFonts w:cs="Arial"/>
          <w:i/>
          <w:iCs/>
          <w:szCs w:val="21"/>
        </w:rPr>
        <w:t>Tweede Kamerdebat over de Toekomst van Tata Steel</w:t>
      </w:r>
      <w:r w:rsidRPr="00DB1819">
        <w:rPr>
          <w:rFonts w:cs="Arial"/>
          <w:szCs w:val="21"/>
        </w:rPr>
        <w:t>.</w:t>
      </w:r>
    </w:p>
    <w:p w14:paraId="38E1EC64" w14:textId="77777777" w:rsidR="00CB3E6D" w:rsidRPr="00DB1819" w:rsidRDefault="00CB3E6D" w:rsidP="00CB3E6D">
      <w:pPr>
        <w:pStyle w:val="Lijstalinea"/>
        <w:numPr>
          <w:ilvl w:val="0"/>
          <w:numId w:val="1"/>
        </w:numPr>
        <w:rPr>
          <w:rFonts w:cs="Arial"/>
          <w:szCs w:val="21"/>
        </w:rPr>
      </w:pPr>
      <w:r w:rsidRPr="00DB1819">
        <w:rPr>
          <w:rFonts w:cs="Arial"/>
          <w:szCs w:val="21"/>
        </w:rPr>
        <w:t xml:space="preserve">9 september 2021: publicatie van de resultaten van de </w:t>
      </w:r>
      <w:r w:rsidRPr="005C4042">
        <w:rPr>
          <w:rFonts w:cs="Arial"/>
          <w:i/>
          <w:iCs/>
          <w:szCs w:val="21"/>
        </w:rPr>
        <w:t>Gezondheidsmeter 2020</w:t>
      </w:r>
      <w:r w:rsidRPr="00DB1819">
        <w:rPr>
          <w:rFonts w:cs="Arial"/>
          <w:szCs w:val="21"/>
        </w:rPr>
        <w:t xml:space="preserve"> (Gezondheidsmonitor Volwassenen en Ouderen) door de GGD. Van september tot en met december 2020 hebben ruim 18.000 inwoners van de regio Kennemerland de vragenlijst van de GGD Gezondheidsmeter 2020 ingevuld. Vragen gingen over gezondheid, welzijn, leefstijl en de woonomgeving. In het eerste kwartaal van 2022 komt de verdieping uit, de Gezondheidsmonitor IJmond.</w:t>
      </w:r>
    </w:p>
    <w:p w14:paraId="4E3681AF" w14:textId="77777777" w:rsidR="00CB3E6D" w:rsidRPr="00986A2D" w:rsidRDefault="00CB3E6D" w:rsidP="00CB3E6D">
      <w:pPr>
        <w:pStyle w:val="Lijstalinea"/>
        <w:numPr>
          <w:ilvl w:val="0"/>
          <w:numId w:val="1"/>
        </w:numPr>
        <w:rPr>
          <w:rFonts w:cs="Arial"/>
          <w:szCs w:val="21"/>
        </w:rPr>
      </w:pPr>
      <w:r w:rsidRPr="00986A2D">
        <w:rPr>
          <w:rFonts w:cs="Arial"/>
          <w:szCs w:val="21"/>
        </w:rPr>
        <w:t>15 september 2021: Tata Steel kondigt aan volledig te koersen op de productie van groen staal via de waterstofroute. (</w:t>
      </w:r>
      <w:r w:rsidRPr="00986A2D">
        <w:rPr>
          <w:rFonts w:cs="Arial"/>
          <w:i/>
          <w:szCs w:val="21"/>
        </w:rPr>
        <w:t xml:space="preserve">zie persbericht Tata Steel </w:t>
      </w:r>
      <w:hyperlink r:id="rId5" w:history="1">
        <w:r w:rsidRPr="00986A2D">
          <w:rPr>
            <w:rStyle w:val="Hyperlink"/>
            <w:rFonts w:cs="Arial"/>
            <w:i/>
            <w:szCs w:val="21"/>
          </w:rPr>
          <w:t>Tata Steel kiest voor waterstofroute | Tata Steel in Europe (tatasteeleurope.com)</w:t>
        </w:r>
      </w:hyperlink>
      <w:r w:rsidRPr="00986A2D">
        <w:rPr>
          <w:rFonts w:cs="Arial"/>
          <w:szCs w:val="21"/>
        </w:rPr>
        <w:t>). Vergunning- en subsidieaanvraag voor de eerder ingezette route waarbij CO</w:t>
      </w:r>
      <w:r>
        <w:rPr>
          <w:rFonts w:ascii="Calibri" w:hAnsi="Calibri" w:cs="Calibri"/>
          <w:szCs w:val="21"/>
        </w:rPr>
        <w:t>₂</w:t>
      </w:r>
      <w:r w:rsidRPr="00986A2D">
        <w:rPr>
          <w:rFonts w:cs="Arial"/>
          <w:szCs w:val="21"/>
        </w:rPr>
        <w:t xml:space="preserve"> wordt opgeslagen worden door Tata Steel niet ingediend. </w:t>
      </w:r>
    </w:p>
    <w:p w14:paraId="1C19E9BF" w14:textId="77777777" w:rsidR="00CB3E6D" w:rsidRPr="005C3B69" w:rsidRDefault="00CB3E6D" w:rsidP="00CB3E6D">
      <w:pPr>
        <w:pStyle w:val="Lijstalinea"/>
        <w:numPr>
          <w:ilvl w:val="0"/>
          <w:numId w:val="1"/>
        </w:numPr>
        <w:rPr>
          <w:rFonts w:cs="Arial"/>
          <w:szCs w:val="21"/>
        </w:rPr>
      </w:pPr>
      <w:r w:rsidRPr="00DB1819">
        <w:rPr>
          <w:rFonts w:cs="Arial"/>
          <w:szCs w:val="21"/>
        </w:rPr>
        <w:t xml:space="preserve">15 september: Er wordt door de ODNZKG en de Provincie </w:t>
      </w:r>
      <w:r>
        <w:rPr>
          <w:rFonts w:cs="Arial"/>
          <w:szCs w:val="21"/>
        </w:rPr>
        <w:t xml:space="preserve">N-H </w:t>
      </w:r>
      <w:r w:rsidRPr="00DB1819">
        <w:rPr>
          <w:rFonts w:cs="Arial"/>
          <w:szCs w:val="21"/>
        </w:rPr>
        <w:t xml:space="preserve">gewerkt aan </w:t>
      </w:r>
      <w:r w:rsidRPr="005C4042">
        <w:rPr>
          <w:rFonts w:cs="Arial"/>
          <w:i/>
          <w:iCs/>
          <w:szCs w:val="21"/>
        </w:rPr>
        <w:t>aanscherping van de vergunning van Tata Steel</w:t>
      </w:r>
      <w:r w:rsidRPr="00DB1819">
        <w:rPr>
          <w:rFonts w:cs="Arial"/>
          <w:szCs w:val="21"/>
        </w:rPr>
        <w:t>. Het ILT is daar ook actief bij betrokken.</w:t>
      </w:r>
      <w:r w:rsidRPr="00443A22">
        <w:rPr>
          <w:rFonts w:cs="Arial"/>
          <w:color w:val="FF0000"/>
          <w:szCs w:val="21"/>
        </w:rPr>
        <w:t xml:space="preserve"> </w:t>
      </w:r>
      <w:r w:rsidRPr="00303834">
        <w:rPr>
          <w:rFonts w:cs="Arial"/>
          <w:szCs w:val="21"/>
        </w:rPr>
        <w:t xml:space="preserve">De ILT spreekt op wekelijkse basis met vergunningverleners van de omgevingsdienst en werkt schouder aan schouder om aanscherpingen door te voeren. De ILT ziet ten aanzien van vijf punten nog mogelijkheden: </w:t>
      </w:r>
      <w:proofErr w:type="spellStart"/>
      <w:r w:rsidRPr="00303834">
        <w:rPr>
          <w:rFonts w:cs="Arial"/>
          <w:szCs w:val="21"/>
        </w:rPr>
        <w:t>Kooksfabriek</w:t>
      </w:r>
      <w:proofErr w:type="spellEnd"/>
      <w:r w:rsidRPr="00303834">
        <w:rPr>
          <w:rFonts w:cs="Arial"/>
          <w:szCs w:val="21"/>
        </w:rPr>
        <w:t xml:space="preserve"> 2, ZZS-minimalisatie, Aanscherpen monitoring emissies, Uitbreiding </w:t>
      </w:r>
      <w:proofErr w:type="spellStart"/>
      <w:r w:rsidRPr="00303834">
        <w:rPr>
          <w:rFonts w:cs="Arial"/>
          <w:szCs w:val="21"/>
        </w:rPr>
        <w:t>Wabo</w:t>
      </w:r>
      <w:proofErr w:type="spellEnd"/>
      <w:r w:rsidRPr="00303834">
        <w:rPr>
          <w:rFonts w:cs="Arial"/>
          <w:szCs w:val="21"/>
        </w:rPr>
        <w:t xml:space="preserve"> advies </w:t>
      </w:r>
      <w:proofErr w:type="spellStart"/>
      <w:r w:rsidRPr="00303834">
        <w:rPr>
          <w:rFonts w:cs="Arial"/>
          <w:szCs w:val="21"/>
        </w:rPr>
        <w:t>Harsco</w:t>
      </w:r>
      <w:proofErr w:type="spellEnd"/>
      <w:r w:rsidRPr="00303834">
        <w:rPr>
          <w:rFonts w:cs="Arial"/>
          <w:szCs w:val="21"/>
        </w:rPr>
        <w:t>, Geurbeleid.</w:t>
      </w:r>
      <w:r>
        <w:rPr>
          <w:rFonts w:cs="Arial"/>
          <w:szCs w:val="21"/>
        </w:rPr>
        <w:t xml:space="preserve"> </w:t>
      </w:r>
      <w:r w:rsidRPr="005C3B69">
        <w:rPr>
          <w:rFonts w:cs="Arial"/>
          <w:szCs w:val="21"/>
        </w:rPr>
        <w:t xml:space="preserve">Zie bijlage: Schriftelijke beantwoording vragen commissiedebat Toekomst Tata Steel door ministerie van Economische Zaken en Klimaat </w:t>
      </w:r>
    </w:p>
    <w:p w14:paraId="29290FB1" w14:textId="77777777" w:rsidR="00CB3E6D" w:rsidRPr="00986A2D" w:rsidRDefault="00CB3E6D" w:rsidP="00CB3E6D">
      <w:pPr>
        <w:pStyle w:val="Lijstalinea"/>
        <w:numPr>
          <w:ilvl w:val="0"/>
          <w:numId w:val="1"/>
        </w:numPr>
        <w:rPr>
          <w:rFonts w:cs="Arial"/>
          <w:szCs w:val="21"/>
        </w:rPr>
      </w:pPr>
      <w:r w:rsidRPr="00986A2D">
        <w:rPr>
          <w:rFonts w:cs="Arial"/>
          <w:szCs w:val="21"/>
        </w:rPr>
        <w:t>16 september 2021:</w:t>
      </w:r>
      <w:r w:rsidRPr="00986A2D">
        <w:rPr>
          <w:rFonts w:cs="Arial"/>
          <w:szCs w:val="21"/>
          <w:vertAlign w:val="superscript"/>
        </w:rPr>
        <w:t xml:space="preserve"> </w:t>
      </w:r>
      <w:r w:rsidRPr="005C4042">
        <w:rPr>
          <w:rFonts w:cs="Arial"/>
          <w:i/>
          <w:iCs/>
          <w:szCs w:val="21"/>
        </w:rPr>
        <w:t>Vervolg</w:t>
      </w:r>
      <w:r w:rsidRPr="005C4042">
        <w:rPr>
          <w:rFonts w:cs="Arial"/>
          <w:i/>
          <w:iCs/>
          <w:szCs w:val="21"/>
          <w:vertAlign w:val="superscript"/>
        </w:rPr>
        <w:t xml:space="preserve"> </w:t>
      </w:r>
      <w:r w:rsidRPr="005C4042">
        <w:rPr>
          <w:rFonts w:cs="Arial"/>
          <w:i/>
          <w:iCs/>
          <w:szCs w:val="21"/>
        </w:rPr>
        <w:t>Tweede Kamerdebat</w:t>
      </w:r>
      <w:r w:rsidRPr="00986A2D">
        <w:rPr>
          <w:rFonts w:cs="Arial"/>
          <w:szCs w:val="21"/>
        </w:rPr>
        <w:t xml:space="preserve"> over de toekomst van Tata Steel; verschillende moties ingediend (</w:t>
      </w:r>
      <w:r w:rsidR="00E343BC" w:rsidRPr="00E343BC">
        <w:rPr>
          <w:rFonts w:cs="Arial"/>
          <w:szCs w:val="21"/>
        </w:rPr>
        <w:t>zie bijlage 3</w:t>
      </w:r>
      <w:r w:rsidRPr="00986A2D">
        <w:rPr>
          <w:rFonts w:cs="Arial"/>
          <w:szCs w:val="21"/>
        </w:rPr>
        <w:t>).</w:t>
      </w:r>
    </w:p>
    <w:p w14:paraId="274BC1D5" w14:textId="77777777" w:rsidR="00CB3E6D" w:rsidRPr="00986A2D" w:rsidRDefault="00CB3E6D" w:rsidP="00CB3E6D">
      <w:pPr>
        <w:pStyle w:val="Lijstalinea"/>
        <w:numPr>
          <w:ilvl w:val="0"/>
          <w:numId w:val="1"/>
        </w:numPr>
        <w:rPr>
          <w:rFonts w:cs="Arial"/>
          <w:szCs w:val="21"/>
        </w:rPr>
      </w:pPr>
      <w:r w:rsidRPr="00986A2D">
        <w:rPr>
          <w:rFonts w:cs="Arial"/>
          <w:szCs w:val="21"/>
        </w:rPr>
        <w:t xml:space="preserve">22 september 2021: </w:t>
      </w:r>
      <w:r w:rsidRPr="005C4042">
        <w:rPr>
          <w:rFonts w:cs="Arial"/>
          <w:i/>
          <w:iCs/>
          <w:szCs w:val="21"/>
        </w:rPr>
        <w:t>nieuwe advieswaarden van de Wereldgezondheidsorganisatie</w:t>
      </w:r>
      <w:r w:rsidRPr="00986A2D">
        <w:rPr>
          <w:rFonts w:cs="Arial"/>
          <w:szCs w:val="21"/>
        </w:rPr>
        <w:t xml:space="preserve"> (WHO). De WHO heeft de waarden voor onder andere stikstof en fijnstof aangescherpt, omdat luchtvervuiling al in kleinere hoeveelheden schadelijk blijkt voor de volksgezondheid. </w:t>
      </w:r>
    </w:p>
    <w:p w14:paraId="2057DBA0" w14:textId="77777777" w:rsidR="00CB3E6D" w:rsidRDefault="00CB3E6D" w:rsidP="00CB3E6D">
      <w:pPr>
        <w:pStyle w:val="Lijstalinea"/>
        <w:numPr>
          <w:ilvl w:val="0"/>
          <w:numId w:val="1"/>
        </w:numPr>
        <w:rPr>
          <w:rFonts w:cs="Arial"/>
          <w:szCs w:val="21"/>
        </w:rPr>
      </w:pPr>
      <w:r w:rsidRPr="000C425A">
        <w:rPr>
          <w:rFonts w:cs="Arial"/>
          <w:szCs w:val="21"/>
        </w:rPr>
        <w:t xml:space="preserve">27 september 2021: De </w:t>
      </w:r>
      <w:proofErr w:type="spellStart"/>
      <w:r w:rsidRPr="000C425A">
        <w:rPr>
          <w:rFonts w:cs="Arial"/>
          <w:szCs w:val="21"/>
        </w:rPr>
        <w:t>Onderzoeksraad</w:t>
      </w:r>
      <w:proofErr w:type="spellEnd"/>
      <w:r w:rsidRPr="000C425A">
        <w:rPr>
          <w:rFonts w:cs="Arial"/>
          <w:szCs w:val="21"/>
        </w:rPr>
        <w:t xml:space="preserve"> voor de Veiligheid maakt bekend het lopende onderzoek uit te breiden naar de veiligheid van omwonenden van industriële complexen in Nijmegen en Dordrecht. </w:t>
      </w:r>
    </w:p>
    <w:p w14:paraId="65915B65" w14:textId="77777777" w:rsidR="00B64A6A" w:rsidRPr="000C425A" w:rsidRDefault="00B64A6A" w:rsidP="00CB3E6D">
      <w:pPr>
        <w:pStyle w:val="Lijstalinea"/>
        <w:numPr>
          <w:ilvl w:val="0"/>
          <w:numId w:val="1"/>
        </w:numPr>
        <w:rPr>
          <w:rFonts w:cs="Arial"/>
          <w:szCs w:val="21"/>
        </w:rPr>
      </w:pPr>
      <w:r>
        <w:rPr>
          <w:rFonts w:cs="Arial"/>
          <w:szCs w:val="21"/>
        </w:rPr>
        <w:t xml:space="preserve">4 oktober 2021: </w:t>
      </w:r>
      <w:r w:rsidRPr="00B64A6A">
        <w:rPr>
          <w:rFonts w:cs="Arial"/>
          <w:szCs w:val="21"/>
        </w:rPr>
        <w:t xml:space="preserve">Tata Steel </w:t>
      </w:r>
      <w:r w:rsidR="00E343BC">
        <w:rPr>
          <w:rFonts w:cs="Arial"/>
          <w:szCs w:val="21"/>
        </w:rPr>
        <w:t xml:space="preserve">informeert </w:t>
      </w:r>
      <w:r w:rsidRPr="00B64A6A">
        <w:rPr>
          <w:rFonts w:cs="Arial"/>
          <w:szCs w:val="21"/>
        </w:rPr>
        <w:t xml:space="preserve">het ministerie van I&amp;W met een brief over de aanpak van ZZS en de uitvoering van de </w:t>
      </w:r>
      <w:proofErr w:type="spellStart"/>
      <w:r w:rsidRPr="00B64A6A">
        <w:rPr>
          <w:rFonts w:cs="Arial"/>
          <w:szCs w:val="21"/>
        </w:rPr>
        <w:t>Roadmap</w:t>
      </w:r>
      <w:proofErr w:type="spellEnd"/>
      <w:r w:rsidRPr="00B64A6A">
        <w:rPr>
          <w:rFonts w:cs="Arial"/>
          <w:szCs w:val="21"/>
        </w:rPr>
        <w:t xml:space="preserve"> Plus</w:t>
      </w:r>
      <w:r>
        <w:rPr>
          <w:rFonts w:cs="Arial"/>
          <w:szCs w:val="21"/>
        </w:rPr>
        <w:t xml:space="preserve"> (zie bijlage 5)</w:t>
      </w:r>
      <w:r w:rsidRPr="00B64A6A">
        <w:rPr>
          <w:rFonts w:cs="Arial"/>
          <w:szCs w:val="21"/>
        </w:rPr>
        <w:t>.</w:t>
      </w:r>
    </w:p>
    <w:p w14:paraId="146C1C78" w14:textId="77777777" w:rsidR="00CB3E6D" w:rsidRPr="000C425A" w:rsidRDefault="00CB3E6D" w:rsidP="00CB3E6D">
      <w:pPr>
        <w:pStyle w:val="description"/>
        <w:numPr>
          <w:ilvl w:val="0"/>
          <w:numId w:val="1"/>
        </w:numPr>
        <w:shd w:val="clear" w:color="auto" w:fill="FFFFFF"/>
        <w:spacing w:before="0" w:beforeAutospacing="0" w:after="0" w:afterAutospacing="0"/>
        <w:rPr>
          <w:rFonts w:ascii="Arial" w:hAnsi="Arial" w:cs="Arial"/>
          <w:i/>
          <w:sz w:val="21"/>
          <w:szCs w:val="21"/>
        </w:rPr>
      </w:pPr>
      <w:r w:rsidRPr="000C425A">
        <w:rPr>
          <w:rFonts w:ascii="Arial" w:hAnsi="Arial" w:cs="Arial"/>
          <w:sz w:val="21"/>
          <w:szCs w:val="21"/>
        </w:rPr>
        <w:lastRenderedPageBreak/>
        <w:t xml:space="preserve">13 oktober 2021: Provincie en Omgevingsdienst Noordzeekanaalgebied (OD NZKG) </w:t>
      </w:r>
      <w:r w:rsidRPr="005C4042">
        <w:rPr>
          <w:rFonts w:ascii="Arial" w:hAnsi="Arial" w:cs="Arial"/>
          <w:i/>
          <w:iCs/>
          <w:sz w:val="21"/>
          <w:szCs w:val="21"/>
        </w:rPr>
        <w:t>scherpen de vergunning van Tata Steel aan op een aantal zeer zorgwekkende stoffen (ZZS).</w:t>
      </w:r>
      <w:r w:rsidRPr="000C425A">
        <w:rPr>
          <w:rFonts w:ascii="Arial" w:hAnsi="Arial" w:cs="Arial"/>
          <w:sz w:val="21"/>
          <w:szCs w:val="21"/>
        </w:rPr>
        <w:t xml:space="preserve"> Bij de ZZS inventarisatie bij Tata Steel heeft de OD NZKG gekeken naar de werkelijke uitstoot en de vergunde uitstoot aan Tata Steel, de situatie op papier. Uit het onderzoek blijkt dat de werkelijke uitstoot van ZZS door Tata Steel het maximaal toelaatbaar risiconiveau niet overschrijdt, maar dat de vergunning op papier bij  acht stoffen nog ruimte laat voor aanscherping. De OD NZKG scherpt de vergunning hierop aan. </w:t>
      </w:r>
      <w:r w:rsidRPr="000C425A">
        <w:rPr>
          <w:rFonts w:ascii="Arial" w:hAnsi="Arial" w:cs="Arial"/>
          <w:i/>
          <w:sz w:val="21"/>
          <w:szCs w:val="21"/>
        </w:rPr>
        <w:t xml:space="preserve">Zie: </w:t>
      </w:r>
      <w:hyperlink r:id="rId6" w:history="1">
        <w:r w:rsidRPr="000C425A">
          <w:rPr>
            <w:rStyle w:val="Hyperlink"/>
            <w:rFonts w:ascii="Arial" w:hAnsi="Arial" w:cs="Arial"/>
            <w:i/>
            <w:sz w:val="21"/>
            <w:szCs w:val="21"/>
          </w:rPr>
          <w:t>Provincie en OD NZKG scherpen vergunning Tata Steel aan - Provincie Noord-Holland</w:t>
        </w:r>
      </w:hyperlink>
    </w:p>
    <w:p w14:paraId="128CD4DB" w14:textId="77777777" w:rsidR="00CB3E6D" w:rsidRDefault="00CB3E6D" w:rsidP="00CB3E6D">
      <w:pPr>
        <w:rPr>
          <w:rFonts w:cs="Arial"/>
          <w:sz w:val="20"/>
          <w:szCs w:val="20"/>
        </w:rPr>
      </w:pPr>
    </w:p>
    <w:p w14:paraId="3FCE7DF2" w14:textId="77777777" w:rsidR="00CB3E6D" w:rsidRDefault="00CB3E6D" w:rsidP="00CB3E6D">
      <w:pPr>
        <w:spacing w:line="240" w:lineRule="auto"/>
        <w:rPr>
          <w:rFonts w:cs="Arial"/>
          <w:b/>
          <w:bCs/>
          <w:sz w:val="24"/>
          <w:szCs w:val="24"/>
        </w:rPr>
      </w:pPr>
    </w:p>
    <w:p w14:paraId="6FC28314" w14:textId="77777777" w:rsidR="00CB3E6D" w:rsidRDefault="00CB3E6D" w:rsidP="00CB3E6D">
      <w:pPr>
        <w:spacing w:line="240" w:lineRule="auto"/>
        <w:rPr>
          <w:rFonts w:cs="Arial"/>
          <w:b/>
          <w:bCs/>
          <w:sz w:val="24"/>
          <w:szCs w:val="24"/>
        </w:rPr>
      </w:pPr>
    </w:p>
    <w:p w14:paraId="142B9220" w14:textId="77777777" w:rsidR="00B64A6A" w:rsidRDefault="00B64A6A"/>
    <w:sectPr w:rsidR="00B6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5395D"/>
    <w:multiLevelType w:val="hybridMultilevel"/>
    <w:tmpl w:val="DAC68A0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6D"/>
    <w:rsid w:val="001F3120"/>
    <w:rsid w:val="00366F85"/>
    <w:rsid w:val="00530F4E"/>
    <w:rsid w:val="0082190D"/>
    <w:rsid w:val="00B64A6A"/>
    <w:rsid w:val="00BF4CF3"/>
    <w:rsid w:val="00CB3E6D"/>
    <w:rsid w:val="00D523EC"/>
    <w:rsid w:val="00D712BA"/>
    <w:rsid w:val="00DF2B36"/>
    <w:rsid w:val="00E34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2B4D"/>
  <w15:chartTrackingRefBased/>
  <w15:docId w15:val="{4F36EB5C-E0EA-4051-98E2-ACF9549B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6D"/>
    <w:pPr>
      <w:spacing w:after="0" w:line="276" w:lineRule="auto"/>
    </w:pPr>
    <w:rPr>
      <w:rFonts w:ascii="Arial" w:eastAsia="Calibri" w:hAnsi="Arial" w:cs="Times New Roman"/>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E6D"/>
    <w:pPr>
      <w:ind w:left="720"/>
      <w:contextualSpacing/>
    </w:pPr>
  </w:style>
  <w:style w:type="character" w:styleId="Hyperlink">
    <w:name w:val="Hyperlink"/>
    <w:basedOn w:val="Standaardalinea-lettertype"/>
    <w:uiPriority w:val="99"/>
    <w:semiHidden/>
    <w:unhideWhenUsed/>
    <w:rsid w:val="00CB3E6D"/>
    <w:rPr>
      <w:color w:val="0000FF"/>
      <w:u w:val="single"/>
    </w:rPr>
  </w:style>
  <w:style w:type="paragraph" w:customStyle="1" w:styleId="description">
    <w:name w:val="description"/>
    <w:basedOn w:val="Standaard"/>
    <w:rsid w:val="00CB3E6D"/>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D523E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3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rd-holland.nl/Actueel/Archief/2021/Oktober_2021/Provincie_en_OD_NZKG_scherpen_vergunning_Tata_Steel_aan" TargetMode="External"/><Relationship Id="rId5" Type="http://schemas.openxmlformats.org/officeDocument/2006/relationships/hyperlink" Target="https://www.tatasteeleurope.com/nl/corporate/nieuws/tata-steel-kiest-voor-waterstofrout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Kostandy</dc:creator>
  <cp:keywords/>
  <dc:description/>
  <cp:lastModifiedBy>Fred Kok</cp:lastModifiedBy>
  <cp:revision>2</cp:revision>
  <dcterms:created xsi:type="dcterms:W3CDTF">2022-06-08T11:44:00Z</dcterms:created>
  <dcterms:modified xsi:type="dcterms:W3CDTF">2022-06-08T11:44:00Z</dcterms:modified>
</cp:coreProperties>
</file>